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3C" w:rsidRDefault="00CB5F3C" w:rsidP="00CB5F3C">
      <w:pPr>
        <w:autoSpaceDE w:val="0"/>
        <w:autoSpaceDN w:val="0"/>
        <w:adjustRightInd w:val="0"/>
        <w:spacing w:after="120" w:line="252" w:lineRule="auto"/>
        <w:ind w:right="350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Integrated Planning and Partnership </w:t>
      </w:r>
      <w:proofErr w:type="gramStart"/>
      <w:r>
        <w:rPr>
          <w:rFonts w:ascii="Times New Roman" w:hAnsi="Times New Roman" w:cs="Times New Roman"/>
          <w:color w:val="000000"/>
        </w:rPr>
        <w:t>Model  for</w:t>
      </w:r>
      <w:proofErr w:type="gramEnd"/>
      <w:r>
        <w:rPr>
          <w:rFonts w:ascii="Times New Roman" w:hAnsi="Times New Roman" w:cs="Times New Roman"/>
          <w:color w:val="000000"/>
        </w:rPr>
        <w:t xml:space="preserve"> Brownfield Regeneration </w:t>
      </w:r>
    </w:p>
    <w:p w:rsidR="00CB5F3C" w:rsidRDefault="00CB5F3C" w:rsidP="00CB5F3C">
      <w:pPr>
        <w:autoSpaceDE w:val="0"/>
        <w:autoSpaceDN w:val="0"/>
        <w:adjustRightInd w:val="0"/>
        <w:spacing w:after="7" w:line="252" w:lineRule="auto"/>
        <w:rPr>
          <w:rFonts w:ascii="Times New Roman" w:hAnsi="Times New Roman" w:cs="Times New Roman"/>
          <w:color w:val="FEB21A"/>
        </w:rPr>
      </w:pPr>
      <w:hyperlink r:id="rId4" w:history="1">
        <w:r>
          <w:rPr>
            <w:rFonts w:ascii="Times New Roman" w:hAnsi="Times New Roman" w:cs="Times New Roman"/>
            <w:color w:val="FEB21A"/>
            <w:u w:val="single"/>
          </w:rPr>
          <w:t>www.balticurbanlab.eu</w:t>
        </w:r>
      </w:hyperlink>
      <w:r>
        <w:rPr>
          <w:rFonts w:ascii="Times New Roman" w:hAnsi="Times New Roman" w:cs="Times New Roman"/>
          <w:color w:val="FEB21A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4080" w:hanging="3967"/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70000" cy="1270000"/>
            <wp:effectExtent l="19050" t="0" r="635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  <w:t xml:space="preserve">ŪKUSALAS TERITORIJAS ATTĪSTĪBAS KONCEPCIJAS    </w:t>
      </w:r>
      <w:r>
        <w:rPr>
          <w:rFonts w:ascii="Times New Roman" w:hAnsi="Times New Roman" w:cs="Times New Roman"/>
          <w:b/>
          <w:bCs/>
          <w:color w:val="404040"/>
          <w:sz w:val="20"/>
          <w:szCs w:val="20"/>
          <w:lang w:val="lv-LV"/>
        </w:rPr>
        <w:t xml:space="preserve">                   </w:t>
      </w:r>
      <w:r>
        <w:rPr>
          <w:rFonts w:ascii="Times New Roman" w:hAnsi="Times New Roman" w:cs="Times New Roman"/>
          <w:color w:val="404040"/>
          <w:sz w:val="20"/>
          <w:szCs w:val="20"/>
          <w:lang w:val="lv-LV"/>
        </w:rPr>
        <w:t>(PUBLISKĀS TELPAS DIZAINA)</w:t>
      </w:r>
      <w:r>
        <w:rPr>
          <w:rFonts w:ascii="Times New Roman" w:hAnsi="Times New Roman" w:cs="Times New Roman"/>
          <w:b/>
          <w:bCs/>
          <w:color w:val="404040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  <w:t xml:space="preserve">IZSTRĀDE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304"/>
        <w:jc w:val="center"/>
        <w:rPr>
          <w:rFonts w:ascii="Times New Roman" w:hAnsi="Times New Roman" w:cs="Times New Roman"/>
          <w:b/>
          <w:bCs/>
          <w:color w:val="40404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257" w:hanging="10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2017.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decembr</w:t>
      </w:r>
      <w:proofErr w:type="spellEnd"/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  <w:t>ī</w:t>
      </w:r>
      <w:proofErr w:type="gramEnd"/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lv-LV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302"/>
        <w:jc w:val="center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249"/>
        <w:jc w:val="center"/>
        <w:rPr>
          <w:rFonts w:ascii="Times New Roman" w:hAnsi="Times New Roman" w:cs="Times New Roman"/>
          <w:b/>
          <w:bCs/>
          <w:color w:val="40404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04040"/>
          <w:sz w:val="16"/>
          <w:szCs w:val="16"/>
          <w:u w:val="single"/>
        </w:rPr>
        <w:t>TREŠAIS TEMATISKO LEKCIJU CIKLS</w:t>
      </w:r>
      <w:r>
        <w:rPr>
          <w:rFonts w:ascii="Times New Roman" w:hAnsi="Times New Roman" w:cs="Times New Roman"/>
          <w:b/>
          <w:bCs/>
          <w:color w:val="404040"/>
          <w:sz w:val="16"/>
          <w:szCs w:val="16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36" w:line="252" w:lineRule="auto"/>
        <w:ind w:left="1304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245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“TERITORIJAS M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val="lv-LV"/>
        </w:rPr>
        <w:t>ĀRKETINGS”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val="lv-LV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257" w:hanging="10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PROGRAMMA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1302"/>
        <w:jc w:val="center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054"/>
        <w:gridCol w:w="7016"/>
      </w:tblGrid>
      <w:tr w:rsidR="00CB5F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LU DAC 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Jelgavas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1, 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īga 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3.st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āvs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, 324/325.telpa   </w:t>
            </w:r>
          </w:p>
        </w:tc>
      </w:tr>
    </w:tbl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</w:p>
    <w:tbl>
      <w:tblPr>
        <w:tblW w:w="0" w:type="auto"/>
        <w:tblInd w:w="92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2054"/>
        <w:gridCol w:w="7088"/>
      </w:tblGrid>
      <w:tr w:rsidR="00CB5F3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9:45 – 10:00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Re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ģistrācija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10:00 – 10:30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CITU PAŠVALD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ĪBU PIEREDZE PILSĒTU REVITALIZĀCIJĀ </w:t>
            </w:r>
          </w:p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`URBAN REGENERATION UPSIDE-DOWN - 2 ACTUAL CASE STUDIES FOR CULTURALLY DRIVEN REGENERATION ACTIVITIES FROM KAUNAS (LT) AND BERGERAC (F)` </w:t>
            </w:r>
          </w:p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 w:right="159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Büchel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priv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āteksperts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Riga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/ /prezentācija angļu valodā/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10:30 - 11:00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VIET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ĒJĀ SABIEDRISKĀ DOMUBIEDRU GRUPA/TUVĀ PĀRDAUGAVA </w:t>
            </w:r>
          </w:p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Kazina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/LU/,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Laiz</w:t>
            </w: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lv-LV"/>
              </w:rPr>
              <w:t>āne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lv-LV"/>
              </w:rPr>
              <w:t xml:space="preserve"> /LNB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/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11:00 – 11:10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ārtraukums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11:10 - 11:40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TERITORIJAS Z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ĪMOLOŠANA/CĒSU ATTĪSTĪBAS VEIKSMĪGAIS PIEMĒRS </w:t>
            </w:r>
          </w:p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lv-LV"/>
              </w:rPr>
              <w:t>ānis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lang w:val="lv-LV"/>
              </w:rPr>
              <w:t>Ķīnasts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pilsētplānošanas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vietrades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 un dizaina pētnieks/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11:40 - 12:00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Jaut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>ājumi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lv-LV"/>
              </w:rPr>
              <w:t xml:space="preserve">, diskusijas </w:t>
            </w:r>
          </w:p>
        </w:tc>
      </w:tr>
      <w:tr w:rsidR="00CB5F3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12:00 - 12:30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Kafijas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pauze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, 301.telpa </w:t>
            </w:r>
          </w:p>
          <w:p w:rsidR="00CB5F3C" w:rsidRDefault="00CB5F3C">
            <w:pPr>
              <w:autoSpaceDE w:val="0"/>
              <w:autoSpaceDN w:val="0"/>
              <w:adjustRightInd w:val="0"/>
              <w:spacing w:after="0" w:line="252" w:lineRule="auto"/>
              <w:ind w:left="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</w:tr>
    </w:tbl>
    <w:p w:rsidR="00CB5F3C" w:rsidRDefault="00CB5F3C" w:rsidP="00CB5F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</w:p>
    <w:p w:rsidR="00CB5F3C" w:rsidRDefault="00CB5F3C" w:rsidP="00CB5F3C">
      <w:pPr>
        <w:autoSpaceDE w:val="0"/>
        <w:autoSpaceDN w:val="0"/>
        <w:adjustRightInd w:val="0"/>
        <w:spacing w:after="1" w:line="252" w:lineRule="auto"/>
        <w:rPr>
          <w:rFonts w:ascii="Times New Roman" w:hAnsi="Times New Roman" w:cs="Times New Roman"/>
          <w:color w:val="404040"/>
          <w:sz w:val="16"/>
          <w:szCs w:val="16"/>
        </w:rPr>
      </w:pPr>
      <w:r>
        <w:rPr>
          <w:rFonts w:ascii="Times New Roman" w:hAnsi="Times New Roman" w:cs="Times New Roman"/>
          <w:color w:val="40404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04040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noProof/>
          <w:color w:val="404040"/>
          <w:sz w:val="16"/>
          <w:szCs w:val="16"/>
        </w:rPr>
        <w:drawing>
          <wp:inline distT="0" distB="0" distL="0" distR="0">
            <wp:extent cx="1085850" cy="628650"/>
            <wp:effectExtent l="1905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308100" cy="336550"/>
            <wp:effectExtent l="19050" t="0" r="6350" b="0"/>
            <wp:docPr id="4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3C" w:rsidRDefault="00CB5F3C" w:rsidP="00CB5F3C">
      <w:pPr>
        <w:autoSpaceDE w:val="0"/>
        <w:autoSpaceDN w:val="0"/>
        <w:adjustRightInd w:val="0"/>
        <w:spacing w:after="0" w:line="252" w:lineRule="auto"/>
        <w:ind w:left="6886" w:right="-981"/>
        <w:rPr>
          <w:rFonts w:ascii="Calibri" w:hAnsi="Calibri" w:cs="Calibri"/>
        </w:rPr>
      </w:pPr>
    </w:p>
    <w:p w:rsidR="00491DFF" w:rsidRDefault="00491DFF"/>
    <w:sectPr w:rsidR="00491DFF" w:rsidSect="00CB5F3C">
      <w:pgSz w:w="12240" w:h="15840"/>
      <w:pgMar w:top="113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B5F3C"/>
    <w:rsid w:val="00491DFF"/>
    <w:rsid w:val="00C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CB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alticurbanlab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Lietotájs</dc:creator>
  <cp:keywords/>
  <dc:description/>
  <cp:lastModifiedBy>Lietotájs</cp:lastModifiedBy>
  <cp:revision>2</cp:revision>
  <dcterms:created xsi:type="dcterms:W3CDTF">2017-11-28T17:41:00Z</dcterms:created>
  <dcterms:modified xsi:type="dcterms:W3CDTF">2017-11-28T17:42:00Z</dcterms:modified>
</cp:coreProperties>
</file>